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E89B4">
      <w:pPr>
        <w:spacing w:line="6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仙游县</w:t>
      </w:r>
      <w:r>
        <w:rPr>
          <w:rFonts w:hint="eastAsia" w:ascii="方正小标宋简体" w:hAnsi="宋体" w:eastAsia="方正小标宋简体"/>
          <w:sz w:val="44"/>
          <w:szCs w:val="44"/>
        </w:rPr>
        <w:t>住房和城乡建设局</w:t>
      </w:r>
    </w:p>
    <w:p w14:paraId="5B1867FB">
      <w:pPr>
        <w:spacing w:line="660" w:lineRule="exact"/>
        <w:jc w:val="center"/>
        <w:rPr>
          <w:rFonts w:hint="eastAsia" w:ascii="方正小标宋简体" w:hAnsi="宋体" w:eastAsia="方正小标宋简体" w:cs="Arial"/>
          <w:snapToGrid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snapToGrid w:val="0"/>
          <w:sz w:val="44"/>
          <w:szCs w:val="44"/>
        </w:rPr>
        <w:t>行政处罚决定书</w:t>
      </w:r>
    </w:p>
    <w:p w14:paraId="115B0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napToGrid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仙建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罚﹝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11-1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号</w:t>
      </w:r>
    </w:p>
    <w:p w14:paraId="171DAAB1">
      <w:pPr>
        <w:spacing w:line="520" w:lineRule="exact"/>
        <w:ind w:firstLine="0" w:firstLineChars="0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Arial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147320</wp:posOffset>
                </wp:positionV>
                <wp:extent cx="5579745" cy="0"/>
                <wp:effectExtent l="0" t="23495" r="1905" b="336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9745" cy="0"/>
                        </a:xfrm>
                        <a:prstGeom prst="line">
                          <a:avLst/>
                        </a:prstGeom>
                        <a:ln w="47625" cap="flat" cmpd="thickThin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pt;margin-top:11.6pt;height:0pt;width:439.35pt;z-index:251659264;mso-width-relative:page;mso-height-relative:page;" filled="f" stroked="t" coordsize="21600,21600" o:gfxdata="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edqUB1gAAAAgBAAAPAAAAAAAAAAEAIAAAACIAAABkcnMvZG93bnJldi54bWxQ&#10;SwECFAAUAAAACACHTuJAfaUj3PkBAADrAwAADgAAAAAAAAABACAAAAAlAQAAZHJzL2Uyb0RvYy54&#10;bWxQSwUGAAAAAAYABgBZAQAAkAUAAAAA&#10;">
                <v:fill on="f" focussize="0,0"/>
                <v:stroke weight="3.7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252A8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当事人：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，统一社会信用代码：</w:t>
      </w:r>
      <w:r>
        <w:rPr>
          <w:rFonts w:hint="eastAsia" w:ascii="仿宋_GB2312" w:hAnsi="宋体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color="auto" w:fill="auto"/>
        </w:rPr>
        <w:t>9142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color="auto" w:fill="auto"/>
        </w:rPr>
        <w:t>79T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，单位地址: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湖北省武汉市**区**路*号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，法定代表人: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李*国，身份证号：3201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***********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  <w:u w:val="none"/>
          <w:lang w:val="en-US" w:eastAsia="zh-CN"/>
        </w:rPr>
        <w:t>416。</w:t>
      </w:r>
    </w:p>
    <w:p w14:paraId="7FEE6F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该案件由日常检查发现，中国市政工程中南设计研究总院有限公司在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莆田市城乡供水一体化工程仙游度尾水厂扩建工程项目中，存在将其承包的勘察工程进行违法分包的行为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。该行为违反了《建设工程质量管理条例》第十八条第三款：勘察、设计单位不得转包或者违法分包所承揽的工程的规定，本机关于2025年6月20日立案。 </w:t>
      </w:r>
    </w:p>
    <w:p w14:paraId="1A06CFE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经查明，当事人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存在将其承包的工程违法分包的行为。目前该分包合同内容已完成，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中国市政工程中南设计研究总院有限公司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的直接负责的主管人员为王*豪。</w:t>
      </w:r>
    </w:p>
    <w:p w14:paraId="23EE4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-SA"/>
        </w:rPr>
        <w:t>以上事实有询问笔录2份、建设工程勘察设计合同复印件1份、工程勘察合同1份、勘察工程款项结清函复印件1份、勘察报告1份、勘察报告审查合格书1份、责任人员确认说明书1份等主要证据予以佐证。</w:t>
      </w:r>
    </w:p>
    <w:p w14:paraId="10D0934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本机关于2025年9月12日作出《行政处罚意见告知书》（仙建罚告﹝2025﹞11-1号）并送达给当事人，告知当事人拟作出行政处罚的事实、理由、依据、处罚内容及其依法享有陈述、申辩的权利。当事人在法定期限内提出陈述申辩，鉴于本案事实清楚、证据充分、程序合法，对当事人的要求，本机关不予采纳。</w:t>
      </w:r>
    </w:p>
    <w:p w14:paraId="791278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40" w:lineRule="exact"/>
        <w:ind w:left="0" w:leftChars="0"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highlight w:val="none"/>
          <w:lang w:val="en-US" w:eastAsia="zh-CN"/>
        </w:rPr>
        <w:t>根据《建设工程质量管理条例》第六十二条的规定，本机关决定对当事人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u w:val="none"/>
          <w:lang w:val="en-US" w:eastAsia="zh-CN"/>
        </w:rPr>
        <w:t>处36750元（叁万陆仟柒佰伍拾元）罚款的行政处罚。</w:t>
      </w:r>
    </w:p>
    <w:p w14:paraId="68A3C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当事人应当在收到本行政处罚决定书之日起十五日内，携带本行政处罚决定书和《福建省政府非税收入缴款通知书》到规定的银行交纳或者通过支付宝交纳（详看通知书表格下缴款渠道）。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逾期不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缴纳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《中华人民共和国行政处罚法》第七十二条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第一款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第（一）项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规定，每日按罚款数额的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3%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加处罚款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加处罚款的数额不超过罚款的数额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eastAsia="zh-CN"/>
        </w:rPr>
        <w:t>。</w:t>
      </w:r>
      <w:bookmarkStart w:id="0" w:name="_GoBack"/>
      <w:bookmarkEnd w:id="0"/>
    </w:p>
    <w:p w14:paraId="73F54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如不服本行政处罚决定，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可以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处罚决定书之日起六十日内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向仙游县人民政府申请行政复议，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或者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在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接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到本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行政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处罚决定书之日起六个月内依法向人民法院提起行政诉讼。</w:t>
      </w:r>
    </w:p>
    <w:p w14:paraId="7DB4F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</w:p>
    <w:p w14:paraId="440CC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66F16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</w:t>
      </w:r>
    </w:p>
    <w:p w14:paraId="120B4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79A8F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4A435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</w:t>
      </w:r>
    </w:p>
    <w:p w14:paraId="13208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75B89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p w14:paraId="60243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仙游县住房和城乡建设局</w:t>
      </w:r>
    </w:p>
    <w:p w14:paraId="04192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     2025年11月6日</w:t>
      </w:r>
    </w:p>
    <w:p w14:paraId="0C4DC5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宋体-18030">
    <w:altName w:val="微软雅黑"/>
    <w:panose1 w:val="02010609060101010101"/>
    <w:charset w:val="00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C31C3"/>
    <w:rsid w:val="5D5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2025-11-17T01:35:00Z</dcterms:created>
  <dc:creator>WPS_1613957845</dc:creator>
  <cp:lastModifiedBy>WPS_1613957845</cp:lastModifiedBy>
  <dcterms:modified xsi:type="dcterms:W3CDTF">2025-11-17T01:39:18Z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3EE20524AECB4841BC63C172425CF61D_11</vt:lpwstr>
  </property>
  <property fmtid="{D5CDD505-2E9C-101B-9397-08002B2CF9AE}" pid="4" name="KSOTemplateDocerSaveRecord">
    <vt:lpwstr>eyJoZGlkIjoiMmRkZjAyN2QzNzdiYjNhNGI0ZjYwNDk4MTJmMzhiZmQiLCJ1c2VySWQiOiIxMTc0MTIyNjU2In0=</vt:lpwstr>
  </property>
</Properties>
</file>